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63" w:rsidRDefault="00551363" w:rsidP="00046B8D"/>
    <w:p w:rsidR="00A23CFF" w:rsidRDefault="00A23CFF" w:rsidP="00046B8D"/>
    <w:p w:rsidR="00A23CFF" w:rsidRDefault="00A23CFF" w:rsidP="00046B8D"/>
    <w:p w:rsidR="00046B8D" w:rsidRDefault="00E82164" w:rsidP="00046B8D">
      <w:r>
        <w:rPr>
          <w:noProof/>
          <w:lang w:eastAsia="it-IT"/>
        </w:rPr>
        <w:drawing>
          <wp:inline distT="0" distB="0" distL="0" distR="0">
            <wp:extent cx="3048000" cy="35915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046B8D" w:rsidRDefault="00046B8D" w:rsidP="00046B8D"/>
    <w:p w:rsidR="00046B8D" w:rsidRDefault="00046B8D" w:rsidP="00046B8D"/>
    <w:p w:rsidR="00E82164" w:rsidRDefault="00E82164" w:rsidP="00046B8D"/>
    <w:p w:rsidR="00046B8D" w:rsidRDefault="00046B8D" w:rsidP="00046B8D"/>
    <w:p w:rsidR="00A23CFF" w:rsidRDefault="00A23CFF" w:rsidP="00046B8D"/>
    <w:p w:rsidR="00A23CFF" w:rsidRDefault="00A23CFF" w:rsidP="00046B8D"/>
    <w:p w:rsidR="00A23CFF" w:rsidRDefault="00A23CFF" w:rsidP="00046B8D"/>
    <w:p w:rsidR="00046B8D" w:rsidRDefault="00046B8D" w:rsidP="00046B8D"/>
    <w:p w:rsidR="00046B8D" w:rsidRDefault="00E82164" w:rsidP="00046B8D">
      <w:r>
        <w:rPr>
          <w:noProof/>
          <w:lang w:eastAsia="it-IT"/>
        </w:rPr>
        <w:drawing>
          <wp:inline distT="0" distB="0" distL="0" distR="0">
            <wp:extent cx="3048000" cy="35915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046B8D" w:rsidRDefault="00046B8D" w:rsidP="00046B8D"/>
    <w:p w:rsidR="00E82164" w:rsidRDefault="00E82164" w:rsidP="00046B8D"/>
    <w:p w:rsidR="00E82164" w:rsidRDefault="00E82164" w:rsidP="00046B8D"/>
    <w:p w:rsidR="00E82164" w:rsidRDefault="00E82164" w:rsidP="00046B8D"/>
    <w:p w:rsidR="00E82164" w:rsidRDefault="00E82164" w:rsidP="00046B8D"/>
    <w:p w:rsidR="00E82164" w:rsidRDefault="00E82164" w:rsidP="00046B8D"/>
    <w:p w:rsidR="00046B8D" w:rsidRDefault="00E82164" w:rsidP="00046B8D">
      <w:r>
        <w:rPr>
          <w:noProof/>
          <w:lang w:eastAsia="it-IT"/>
        </w:rPr>
        <w:drawing>
          <wp:inline distT="0" distB="0" distL="0" distR="0">
            <wp:extent cx="3048000" cy="359156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046B8D" w:rsidRDefault="00046B8D" w:rsidP="00046B8D"/>
    <w:p w:rsidR="00046B8D" w:rsidRDefault="00046B8D" w:rsidP="00046B8D"/>
    <w:p w:rsidR="00A23CFF" w:rsidRDefault="00A23CFF" w:rsidP="00046B8D"/>
    <w:p w:rsidR="00046B8D" w:rsidRDefault="00046B8D" w:rsidP="00046B8D"/>
    <w:p w:rsidR="00A23CFF" w:rsidRDefault="00A23CFF" w:rsidP="00046B8D"/>
    <w:p w:rsidR="00046B8D" w:rsidRDefault="00046B8D" w:rsidP="00046B8D"/>
    <w:p w:rsidR="00A23CFF" w:rsidRDefault="00A23CFF" w:rsidP="00046B8D"/>
    <w:p w:rsidR="00046B8D" w:rsidRDefault="00E82164" w:rsidP="00046B8D">
      <w:r>
        <w:rPr>
          <w:noProof/>
          <w:lang w:eastAsia="it-IT"/>
        </w:rPr>
        <w:drawing>
          <wp:inline distT="0" distB="0" distL="0" distR="0">
            <wp:extent cx="3048000" cy="359156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E82164" w:rsidRDefault="00E82164" w:rsidP="00046B8D"/>
    <w:p w:rsidR="00E82164" w:rsidRDefault="00E82164" w:rsidP="00046B8D"/>
    <w:p w:rsidR="00E82164" w:rsidRDefault="00E82164" w:rsidP="00046B8D"/>
    <w:p w:rsidR="00E82164" w:rsidRDefault="00E82164" w:rsidP="00046B8D"/>
    <w:p w:rsidR="00506A12" w:rsidRPr="002067C3" w:rsidRDefault="00E82164" w:rsidP="000E6DA8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lastRenderedPageBreak/>
        <w:t>QUINTA</w:t>
      </w:r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0E6DA8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r w:rsidR="00506A12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506A12" w:rsidRPr="00E82164" w:rsidRDefault="00506A12" w:rsidP="00706BBE">
      <w:pPr>
        <w:spacing w:line="276" w:lineRule="auto"/>
        <w:rPr>
          <w:rFonts w:ascii="Footlight MT Light" w:hAnsi="Footlight MT Light"/>
          <w:color w:val="7030A0"/>
          <w:sz w:val="28"/>
          <w:szCs w:val="24"/>
        </w:rPr>
      </w:pPr>
    </w:p>
    <w:p w:rsidR="00E82164" w:rsidRPr="00E82164" w:rsidRDefault="00E82164" w:rsidP="00706BBE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Gesù gridò a gran voce:</w:t>
      </w:r>
    </w:p>
    <w:p w:rsidR="00506A12" w:rsidRPr="00E82164" w:rsidRDefault="00E82164" w:rsidP="00706BBE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«Lazzaro, vieni fuori!».</w:t>
      </w:r>
    </w:p>
    <w:p w:rsidR="005B54ED" w:rsidRPr="00E82164" w:rsidRDefault="005B54ED" w:rsidP="00706BBE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(</w:t>
      </w:r>
      <w:r w:rsidR="00E82164" w:rsidRPr="00E82164">
        <w:rPr>
          <w:rFonts w:ascii="Footlight MT Light" w:hAnsi="Footlight MT Light"/>
          <w:i/>
          <w:color w:val="7030A0"/>
          <w:sz w:val="28"/>
          <w:szCs w:val="24"/>
        </w:rPr>
        <w:t>Gv</w:t>
      </w:r>
      <w:r w:rsidR="00E82164" w:rsidRPr="00E82164">
        <w:rPr>
          <w:rFonts w:ascii="Footlight MT Light" w:hAnsi="Footlight MT Light"/>
          <w:color w:val="7030A0"/>
          <w:sz w:val="28"/>
          <w:szCs w:val="24"/>
        </w:rPr>
        <w:t xml:space="preserve"> 11,43</w:t>
      </w:r>
      <w:r w:rsidRPr="00E82164">
        <w:rPr>
          <w:rFonts w:ascii="Footlight MT Light" w:hAnsi="Footlight MT Light"/>
          <w:color w:val="7030A0"/>
          <w:sz w:val="28"/>
          <w:szCs w:val="24"/>
        </w:rPr>
        <w:t>)</w:t>
      </w:r>
    </w:p>
    <w:p w:rsidR="001B6861" w:rsidRPr="00E82164" w:rsidRDefault="001B6861" w:rsidP="00706BBE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706BBE" w:rsidRPr="00E82164" w:rsidRDefault="00706BBE" w:rsidP="00706BBE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E82164" w:rsidRPr="00E82164" w:rsidRDefault="00E82164" w:rsidP="00706BBE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705F25" w:rsidRPr="00E82164" w:rsidRDefault="00E82164" w:rsidP="00706BB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32"/>
          <w:szCs w:val="24"/>
        </w:rPr>
      </w:pPr>
      <w:r w:rsidRPr="00E82164">
        <w:rPr>
          <w:rFonts w:ascii="Footlight MT Light" w:hAnsi="Footlight MT Light"/>
          <w:b/>
          <w:color w:val="002060"/>
          <w:sz w:val="32"/>
          <w:szCs w:val="24"/>
        </w:rPr>
        <w:t>Il Santo Sepolcro</w:t>
      </w:r>
    </w:p>
    <w:p w:rsidR="000E6DA8" w:rsidRPr="00E82164" w:rsidRDefault="000E6DA8" w:rsidP="000E6DA8">
      <w:pPr>
        <w:pStyle w:val="Nessunaspaziatura"/>
        <w:rPr>
          <w:rFonts w:ascii="Footlight MT Light" w:hAnsi="Footlight MT Light"/>
          <w:b/>
          <w:color w:val="002060"/>
          <w:sz w:val="28"/>
          <w:szCs w:val="24"/>
        </w:rPr>
      </w:pPr>
      <w:r w:rsidRPr="00E82164">
        <w:rPr>
          <w:rFonts w:ascii="Footlight MT Light" w:hAnsi="Footlight MT Light"/>
          <w:b/>
          <w:color w:val="002060"/>
          <w:sz w:val="28"/>
          <w:szCs w:val="24"/>
        </w:rPr>
        <w:t>(Basilica di Aquileia)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 xml:space="preserve">All’interno della </w:t>
      </w:r>
      <w:r w:rsidR="00FA7C68" w:rsidRPr="00E82164">
        <w:rPr>
          <w:rFonts w:ascii="Footlight MT Light" w:hAnsi="Footlight MT Light"/>
          <w:color w:val="002060"/>
          <w:sz w:val="28"/>
        </w:rPr>
        <w:t xml:space="preserve">Basilica </w:t>
      </w:r>
      <w:r w:rsidRPr="00E82164">
        <w:rPr>
          <w:rFonts w:ascii="Footlight MT Light" w:hAnsi="Footlight MT Light"/>
          <w:color w:val="002060"/>
          <w:sz w:val="28"/>
        </w:rPr>
        <w:t>di Aquileia,</w:t>
      </w:r>
    </w:p>
    <w:p w:rsidR="00A23CFF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si</w:t>
      </w:r>
      <w:r w:rsidRPr="00E82164">
        <w:rPr>
          <w:rFonts w:ascii="Footlight MT Light" w:hAnsi="Footlight MT Light"/>
          <w:color w:val="002060"/>
          <w:sz w:val="28"/>
          <w:lang w:eastAsia="it-IT"/>
        </w:rPr>
        <w:t xml:space="preserve"> </w:t>
      </w:r>
      <w:r w:rsidRPr="00E82164">
        <w:rPr>
          <w:rFonts w:ascii="Footlight MT Light" w:hAnsi="Footlight MT Light"/>
          <w:color w:val="002060"/>
          <w:sz w:val="28"/>
        </w:rPr>
        <w:t xml:space="preserve">trova l’unica </w:t>
      </w:r>
      <w:proofErr w:type="spellStart"/>
      <w:r w:rsidRPr="00E82164">
        <w:rPr>
          <w:rFonts w:ascii="Footlight MT Light" w:hAnsi="Footlight MT Light"/>
          <w:i/>
          <w:color w:val="002060"/>
          <w:sz w:val="28"/>
        </w:rPr>
        <w:t>imitatio</w:t>
      </w:r>
      <w:proofErr w:type="spellEnd"/>
      <w:r w:rsidRPr="00E82164">
        <w:rPr>
          <w:rFonts w:ascii="Footlight MT Light" w:hAnsi="Footlight MT Light"/>
          <w:color w:val="002060"/>
          <w:sz w:val="28"/>
        </w:rPr>
        <w:t xml:space="preserve"> del Santo Sepolcro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presente in Friuli Venezia Giulia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  <w:lang w:eastAsia="it-IT"/>
        </w:rPr>
        <w:t>e risalente all’XI secolo</w:t>
      </w:r>
      <w:r w:rsidRPr="00E82164">
        <w:rPr>
          <w:rFonts w:ascii="Footlight MT Light" w:hAnsi="Footlight MT Light"/>
          <w:color w:val="002060"/>
          <w:sz w:val="28"/>
        </w:rPr>
        <w:t>.</w:t>
      </w:r>
    </w:p>
    <w:p w:rsidR="00A23CFF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È una struttura realizzata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per fare memoria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del luogo più venerato dalla cristianità.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Attorno ad essa si rivivevano e celebravano, durante la liturgia pasquale,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gli eventi della Passione,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Morte e Resurrezione di Gesù Cristo.</w:t>
      </w:r>
    </w:p>
    <w:p w:rsidR="00705F25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</w:p>
    <w:p w:rsidR="00E82164" w:rsidRDefault="00E82164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E82164" w:rsidRPr="002067C3" w:rsidRDefault="00E82164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E82164" w:rsidRPr="002067C3" w:rsidRDefault="00E82164" w:rsidP="00E82164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t>QUINTA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>DI QUARESIMA</w:t>
      </w:r>
    </w:p>
    <w:p w:rsidR="00E82164" w:rsidRPr="00E82164" w:rsidRDefault="00E82164" w:rsidP="00E82164">
      <w:pPr>
        <w:spacing w:line="276" w:lineRule="auto"/>
        <w:rPr>
          <w:rFonts w:ascii="Footlight MT Light" w:hAnsi="Footlight MT Light"/>
          <w:color w:val="7030A0"/>
          <w:sz w:val="28"/>
          <w:szCs w:val="24"/>
        </w:rPr>
      </w:pPr>
    </w:p>
    <w:p w:rsidR="00E82164" w:rsidRPr="00E82164" w:rsidRDefault="00E82164" w:rsidP="00E82164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Gesù gridò a gran voce:</w:t>
      </w:r>
    </w:p>
    <w:p w:rsidR="00E82164" w:rsidRPr="00E82164" w:rsidRDefault="00E82164" w:rsidP="00E82164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«Lazzaro, vieni fuori!».</w:t>
      </w:r>
    </w:p>
    <w:p w:rsidR="00E82164" w:rsidRPr="00E82164" w:rsidRDefault="00E82164" w:rsidP="00E82164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(</w:t>
      </w:r>
      <w:r w:rsidRPr="00E82164">
        <w:rPr>
          <w:rFonts w:ascii="Footlight MT Light" w:hAnsi="Footlight MT Light"/>
          <w:i/>
          <w:color w:val="7030A0"/>
          <w:sz w:val="28"/>
          <w:szCs w:val="24"/>
        </w:rPr>
        <w:t>Gv</w:t>
      </w:r>
      <w:r w:rsidRPr="00E82164">
        <w:rPr>
          <w:rFonts w:ascii="Footlight MT Light" w:hAnsi="Footlight MT Light"/>
          <w:color w:val="7030A0"/>
          <w:sz w:val="28"/>
          <w:szCs w:val="24"/>
        </w:rPr>
        <w:t xml:space="preserve"> 11,43)</w:t>
      </w:r>
    </w:p>
    <w:p w:rsidR="00E82164" w:rsidRPr="00E82164" w:rsidRDefault="00E82164" w:rsidP="00E82164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E82164" w:rsidRPr="00E82164" w:rsidRDefault="00E82164" w:rsidP="00E82164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E82164" w:rsidRPr="00E82164" w:rsidRDefault="00E82164" w:rsidP="00E82164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E82164" w:rsidRPr="00E82164" w:rsidRDefault="00E82164" w:rsidP="00E82164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32"/>
          <w:szCs w:val="24"/>
        </w:rPr>
      </w:pPr>
      <w:r w:rsidRPr="00E82164">
        <w:rPr>
          <w:rFonts w:ascii="Footlight MT Light" w:hAnsi="Footlight MT Light"/>
          <w:b/>
          <w:color w:val="002060"/>
          <w:sz w:val="32"/>
          <w:szCs w:val="24"/>
        </w:rPr>
        <w:t>Il Santo Sepolcro</w:t>
      </w:r>
    </w:p>
    <w:p w:rsidR="00E82164" w:rsidRPr="00E82164" w:rsidRDefault="00E82164" w:rsidP="00E82164">
      <w:pPr>
        <w:pStyle w:val="Nessunaspaziatura"/>
        <w:rPr>
          <w:rFonts w:ascii="Footlight MT Light" w:hAnsi="Footlight MT Light"/>
          <w:b/>
          <w:color w:val="002060"/>
          <w:sz w:val="28"/>
          <w:szCs w:val="24"/>
        </w:rPr>
      </w:pPr>
      <w:r w:rsidRPr="00E82164">
        <w:rPr>
          <w:rFonts w:ascii="Footlight MT Light" w:hAnsi="Footlight MT Light"/>
          <w:b/>
          <w:color w:val="002060"/>
          <w:sz w:val="28"/>
          <w:szCs w:val="24"/>
        </w:rPr>
        <w:t>(Basilica di Aquileia)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 xml:space="preserve">All’interno della </w:t>
      </w:r>
      <w:r w:rsidR="00FA7C68" w:rsidRPr="00E82164">
        <w:rPr>
          <w:rFonts w:ascii="Footlight MT Light" w:hAnsi="Footlight MT Light"/>
          <w:color w:val="002060"/>
          <w:sz w:val="28"/>
        </w:rPr>
        <w:t xml:space="preserve">Basilica </w:t>
      </w:r>
      <w:r w:rsidRPr="00E82164">
        <w:rPr>
          <w:rFonts w:ascii="Footlight MT Light" w:hAnsi="Footlight MT Light"/>
          <w:color w:val="002060"/>
          <w:sz w:val="28"/>
        </w:rPr>
        <w:t>di Aquileia,</w:t>
      </w:r>
    </w:p>
    <w:p w:rsidR="00A23CFF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si</w:t>
      </w:r>
      <w:r w:rsidRPr="00E82164">
        <w:rPr>
          <w:rFonts w:ascii="Footlight MT Light" w:hAnsi="Footlight MT Light"/>
          <w:color w:val="002060"/>
          <w:sz w:val="28"/>
          <w:lang w:eastAsia="it-IT"/>
        </w:rPr>
        <w:t xml:space="preserve"> </w:t>
      </w:r>
      <w:r w:rsidRPr="00E82164">
        <w:rPr>
          <w:rFonts w:ascii="Footlight MT Light" w:hAnsi="Footlight MT Light"/>
          <w:color w:val="002060"/>
          <w:sz w:val="28"/>
        </w:rPr>
        <w:t xml:space="preserve">trova l’unica </w:t>
      </w:r>
      <w:proofErr w:type="spellStart"/>
      <w:r w:rsidRPr="00E82164">
        <w:rPr>
          <w:rFonts w:ascii="Footlight MT Light" w:hAnsi="Footlight MT Light"/>
          <w:i/>
          <w:color w:val="002060"/>
          <w:sz w:val="28"/>
        </w:rPr>
        <w:t>imitatio</w:t>
      </w:r>
      <w:proofErr w:type="spellEnd"/>
      <w:r w:rsidRPr="00E82164">
        <w:rPr>
          <w:rFonts w:ascii="Footlight MT Light" w:hAnsi="Footlight MT Light"/>
          <w:color w:val="002060"/>
          <w:sz w:val="28"/>
        </w:rPr>
        <w:t xml:space="preserve"> del Santo Sepolcro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presente in Friuli Venezia Giulia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  <w:lang w:eastAsia="it-IT"/>
        </w:rPr>
        <w:t>e risalente all’XI secolo</w:t>
      </w:r>
      <w:r w:rsidRPr="00E82164">
        <w:rPr>
          <w:rFonts w:ascii="Footlight MT Light" w:hAnsi="Footlight MT Light"/>
          <w:color w:val="002060"/>
          <w:sz w:val="28"/>
        </w:rPr>
        <w:t>.</w:t>
      </w:r>
    </w:p>
    <w:p w:rsidR="00A23CFF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È una struttura realizzata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per fare memoria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del luogo più venerato dalla cristianità.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Attorno ad essa si rivivevano e celebravano, durante la liturgia pasquale,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gli eventi della Passione,</w:t>
      </w:r>
    </w:p>
    <w:p w:rsidR="00E82164" w:rsidRPr="00E82164" w:rsidRDefault="00E82164" w:rsidP="00E82164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Morte e Resurrezione di Gesù Cristo.</w:t>
      </w:r>
    </w:p>
    <w:p w:rsidR="00A23CFF" w:rsidRDefault="00A23CFF" w:rsidP="00A23CFF"/>
    <w:p w:rsidR="00A23CFF" w:rsidRPr="002067C3" w:rsidRDefault="00A23CFF" w:rsidP="00A23CFF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t>QUINTA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>DI QUARESIMA</w:t>
      </w: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color w:val="7030A0"/>
          <w:sz w:val="28"/>
          <w:szCs w:val="24"/>
        </w:rPr>
      </w:pPr>
    </w:p>
    <w:p w:rsidR="00A23CFF" w:rsidRPr="00E82164" w:rsidRDefault="00A23CFF" w:rsidP="00A23CFF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Gesù gridò a gran voce:</w:t>
      </w:r>
    </w:p>
    <w:p w:rsidR="00A23CFF" w:rsidRPr="00E82164" w:rsidRDefault="00A23CFF" w:rsidP="00A23CFF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«Lazzaro, vieni fuori!».</w:t>
      </w:r>
    </w:p>
    <w:p w:rsidR="00A23CFF" w:rsidRPr="00E82164" w:rsidRDefault="00A23CFF" w:rsidP="00A23CFF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(</w:t>
      </w:r>
      <w:r w:rsidRPr="00E82164">
        <w:rPr>
          <w:rFonts w:ascii="Footlight MT Light" w:hAnsi="Footlight MT Light"/>
          <w:i/>
          <w:color w:val="7030A0"/>
          <w:sz w:val="28"/>
          <w:szCs w:val="24"/>
        </w:rPr>
        <w:t>Gv</w:t>
      </w:r>
      <w:r w:rsidRPr="00E82164">
        <w:rPr>
          <w:rFonts w:ascii="Footlight MT Light" w:hAnsi="Footlight MT Light"/>
          <w:color w:val="7030A0"/>
          <w:sz w:val="28"/>
          <w:szCs w:val="24"/>
        </w:rPr>
        <w:t xml:space="preserve"> 11,43)</w:t>
      </w: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A23CFF" w:rsidRPr="00E82164" w:rsidRDefault="00A23CFF" w:rsidP="00A23CFF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32"/>
          <w:szCs w:val="24"/>
        </w:rPr>
      </w:pPr>
      <w:r w:rsidRPr="00E82164">
        <w:rPr>
          <w:rFonts w:ascii="Footlight MT Light" w:hAnsi="Footlight MT Light"/>
          <w:b/>
          <w:color w:val="002060"/>
          <w:sz w:val="32"/>
          <w:szCs w:val="24"/>
        </w:rPr>
        <w:t>Il Santo Sepolcro</w:t>
      </w:r>
    </w:p>
    <w:p w:rsidR="00A23CFF" w:rsidRPr="00E82164" w:rsidRDefault="00A23CFF" w:rsidP="00A23CFF">
      <w:pPr>
        <w:pStyle w:val="Nessunaspaziatura"/>
        <w:rPr>
          <w:rFonts w:ascii="Footlight MT Light" w:hAnsi="Footlight MT Light"/>
          <w:b/>
          <w:color w:val="002060"/>
          <w:sz w:val="28"/>
          <w:szCs w:val="24"/>
        </w:rPr>
      </w:pPr>
      <w:r w:rsidRPr="00E82164">
        <w:rPr>
          <w:rFonts w:ascii="Footlight MT Light" w:hAnsi="Footlight MT Light"/>
          <w:b/>
          <w:color w:val="002060"/>
          <w:sz w:val="28"/>
          <w:szCs w:val="24"/>
        </w:rPr>
        <w:t>(Basilica di Aquileia)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 xml:space="preserve">All’interno della </w:t>
      </w:r>
      <w:r w:rsidR="00FA7C68" w:rsidRPr="00E82164">
        <w:rPr>
          <w:rFonts w:ascii="Footlight MT Light" w:hAnsi="Footlight MT Light"/>
          <w:color w:val="002060"/>
          <w:sz w:val="28"/>
        </w:rPr>
        <w:t xml:space="preserve">Basilica </w:t>
      </w:r>
      <w:r w:rsidRPr="00E82164">
        <w:rPr>
          <w:rFonts w:ascii="Footlight MT Light" w:hAnsi="Footlight MT Light"/>
          <w:color w:val="002060"/>
          <w:sz w:val="28"/>
        </w:rPr>
        <w:t>di Aquileia,</w:t>
      </w:r>
    </w:p>
    <w:p w:rsidR="00A23CFF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si</w:t>
      </w:r>
      <w:r w:rsidRPr="00E82164">
        <w:rPr>
          <w:rFonts w:ascii="Footlight MT Light" w:hAnsi="Footlight MT Light"/>
          <w:color w:val="002060"/>
          <w:sz w:val="28"/>
          <w:lang w:eastAsia="it-IT"/>
        </w:rPr>
        <w:t xml:space="preserve"> </w:t>
      </w:r>
      <w:r w:rsidRPr="00E82164">
        <w:rPr>
          <w:rFonts w:ascii="Footlight MT Light" w:hAnsi="Footlight MT Light"/>
          <w:color w:val="002060"/>
          <w:sz w:val="28"/>
        </w:rPr>
        <w:t xml:space="preserve">trova l’unica </w:t>
      </w:r>
      <w:proofErr w:type="spellStart"/>
      <w:r w:rsidRPr="00E82164">
        <w:rPr>
          <w:rFonts w:ascii="Footlight MT Light" w:hAnsi="Footlight MT Light"/>
          <w:i/>
          <w:color w:val="002060"/>
          <w:sz w:val="28"/>
        </w:rPr>
        <w:t>imitatio</w:t>
      </w:r>
      <w:proofErr w:type="spellEnd"/>
      <w:r w:rsidRPr="00E82164">
        <w:rPr>
          <w:rFonts w:ascii="Footlight MT Light" w:hAnsi="Footlight MT Light"/>
          <w:color w:val="002060"/>
          <w:sz w:val="28"/>
        </w:rPr>
        <w:t xml:space="preserve"> del Santo Sepolcro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presente in Friuli Venezia Giulia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  <w:lang w:eastAsia="it-IT"/>
        </w:rPr>
        <w:t>e risalente all’XI secolo</w:t>
      </w:r>
      <w:r w:rsidRPr="00E82164">
        <w:rPr>
          <w:rFonts w:ascii="Footlight MT Light" w:hAnsi="Footlight MT Light"/>
          <w:color w:val="002060"/>
          <w:sz w:val="28"/>
        </w:rPr>
        <w:t>.</w:t>
      </w:r>
    </w:p>
    <w:p w:rsidR="00A23CFF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È una struttura realizzata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per fare memoria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del luogo più venerato dalla cristianità.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Attorno ad essa si rivivevano e celebravano, durante la liturgia pasquale,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gli eventi della Passione,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Morte e Resurrezione di Gesù Cristo.</w:t>
      </w:r>
    </w:p>
    <w:p w:rsidR="001B6861" w:rsidRDefault="001B6861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A23CFF" w:rsidRDefault="00A23CFF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A23CFF" w:rsidRDefault="00A23CFF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A23CFF" w:rsidRDefault="00A23CFF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A23CFF" w:rsidRPr="002067C3" w:rsidRDefault="00A23CFF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A23CFF" w:rsidRPr="002067C3" w:rsidRDefault="00A23CFF" w:rsidP="00A23CFF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t>QUINTA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>DI QUARESIMA</w:t>
      </w: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color w:val="7030A0"/>
          <w:sz w:val="28"/>
          <w:szCs w:val="24"/>
        </w:rPr>
      </w:pPr>
    </w:p>
    <w:p w:rsidR="00A23CFF" w:rsidRPr="00E82164" w:rsidRDefault="00A23CFF" w:rsidP="00A23CFF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Gesù gridò a gran voce:</w:t>
      </w:r>
    </w:p>
    <w:p w:rsidR="00A23CFF" w:rsidRPr="00E82164" w:rsidRDefault="00A23CFF" w:rsidP="00A23CFF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«Lazzaro, vieni fuori!».</w:t>
      </w:r>
    </w:p>
    <w:p w:rsidR="00A23CFF" w:rsidRPr="00E82164" w:rsidRDefault="00A23CFF" w:rsidP="00A23CFF">
      <w:pPr>
        <w:spacing w:line="276" w:lineRule="auto"/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E82164">
        <w:rPr>
          <w:rFonts w:ascii="Footlight MT Light" w:hAnsi="Footlight MT Light"/>
          <w:color w:val="7030A0"/>
          <w:sz w:val="28"/>
          <w:szCs w:val="24"/>
        </w:rPr>
        <w:t>(</w:t>
      </w:r>
      <w:r w:rsidRPr="00E82164">
        <w:rPr>
          <w:rFonts w:ascii="Footlight MT Light" w:hAnsi="Footlight MT Light"/>
          <w:i/>
          <w:color w:val="7030A0"/>
          <w:sz w:val="28"/>
          <w:szCs w:val="24"/>
        </w:rPr>
        <w:t>Gv</w:t>
      </w:r>
      <w:r w:rsidRPr="00E82164">
        <w:rPr>
          <w:rFonts w:ascii="Footlight MT Light" w:hAnsi="Footlight MT Light"/>
          <w:color w:val="7030A0"/>
          <w:sz w:val="28"/>
          <w:szCs w:val="24"/>
        </w:rPr>
        <w:t xml:space="preserve"> 11,43)</w:t>
      </w: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A23CFF" w:rsidRPr="00E82164" w:rsidRDefault="00A23CFF" w:rsidP="00A23CFF">
      <w:pPr>
        <w:spacing w:line="276" w:lineRule="auto"/>
        <w:rPr>
          <w:rFonts w:ascii="Footlight MT Light" w:hAnsi="Footlight MT Light"/>
          <w:sz w:val="28"/>
          <w:szCs w:val="24"/>
        </w:rPr>
      </w:pPr>
    </w:p>
    <w:p w:rsidR="00A23CFF" w:rsidRPr="00E82164" w:rsidRDefault="00A23CFF" w:rsidP="00A23CFF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32"/>
          <w:szCs w:val="24"/>
        </w:rPr>
      </w:pPr>
      <w:r w:rsidRPr="00E82164">
        <w:rPr>
          <w:rFonts w:ascii="Footlight MT Light" w:hAnsi="Footlight MT Light"/>
          <w:b/>
          <w:color w:val="002060"/>
          <w:sz w:val="32"/>
          <w:szCs w:val="24"/>
        </w:rPr>
        <w:t>Il Santo Sepolcro</w:t>
      </w:r>
    </w:p>
    <w:p w:rsidR="00A23CFF" w:rsidRPr="00E82164" w:rsidRDefault="00A23CFF" w:rsidP="00A23CFF">
      <w:pPr>
        <w:pStyle w:val="Nessunaspaziatura"/>
        <w:rPr>
          <w:rFonts w:ascii="Footlight MT Light" w:hAnsi="Footlight MT Light"/>
          <w:b/>
          <w:color w:val="002060"/>
          <w:sz w:val="28"/>
          <w:szCs w:val="24"/>
        </w:rPr>
      </w:pPr>
      <w:r w:rsidRPr="00E82164">
        <w:rPr>
          <w:rFonts w:ascii="Footlight MT Light" w:hAnsi="Footlight MT Light"/>
          <w:b/>
          <w:color w:val="002060"/>
          <w:sz w:val="28"/>
          <w:szCs w:val="24"/>
        </w:rPr>
        <w:t>(Basilica di Aquileia)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 xml:space="preserve">All’interno della </w:t>
      </w:r>
      <w:r w:rsidR="00FA7C68" w:rsidRPr="00E82164">
        <w:rPr>
          <w:rFonts w:ascii="Footlight MT Light" w:hAnsi="Footlight MT Light"/>
          <w:color w:val="002060"/>
          <w:sz w:val="28"/>
        </w:rPr>
        <w:t>Basil</w:t>
      </w:r>
      <w:bookmarkStart w:id="0" w:name="_GoBack"/>
      <w:bookmarkEnd w:id="0"/>
      <w:r w:rsidR="00FA7C68" w:rsidRPr="00E82164">
        <w:rPr>
          <w:rFonts w:ascii="Footlight MT Light" w:hAnsi="Footlight MT Light"/>
          <w:color w:val="002060"/>
          <w:sz w:val="28"/>
        </w:rPr>
        <w:t xml:space="preserve">ica </w:t>
      </w:r>
      <w:r w:rsidRPr="00E82164">
        <w:rPr>
          <w:rFonts w:ascii="Footlight MT Light" w:hAnsi="Footlight MT Light"/>
          <w:color w:val="002060"/>
          <w:sz w:val="28"/>
        </w:rPr>
        <w:t>di Aquileia,</w:t>
      </w:r>
    </w:p>
    <w:p w:rsidR="00A23CFF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si</w:t>
      </w:r>
      <w:r w:rsidRPr="00E82164">
        <w:rPr>
          <w:rFonts w:ascii="Footlight MT Light" w:hAnsi="Footlight MT Light"/>
          <w:color w:val="002060"/>
          <w:sz w:val="28"/>
          <w:lang w:eastAsia="it-IT"/>
        </w:rPr>
        <w:t xml:space="preserve"> </w:t>
      </w:r>
      <w:r w:rsidRPr="00E82164">
        <w:rPr>
          <w:rFonts w:ascii="Footlight MT Light" w:hAnsi="Footlight MT Light"/>
          <w:color w:val="002060"/>
          <w:sz w:val="28"/>
        </w:rPr>
        <w:t xml:space="preserve">trova l’unica </w:t>
      </w:r>
      <w:proofErr w:type="spellStart"/>
      <w:r w:rsidRPr="00E82164">
        <w:rPr>
          <w:rFonts w:ascii="Footlight MT Light" w:hAnsi="Footlight MT Light"/>
          <w:i/>
          <w:color w:val="002060"/>
          <w:sz w:val="28"/>
        </w:rPr>
        <w:t>imitatio</w:t>
      </w:r>
      <w:proofErr w:type="spellEnd"/>
      <w:r w:rsidRPr="00E82164">
        <w:rPr>
          <w:rFonts w:ascii="Footlight MT Light" w:hAnsi="Footlight MT Light"/>
          <w:color w:val="002060"/>
          <w:sz w:val="28"/>
        </w:rPr>
        <w:t xml:space="preserve"> del Santo Sepolcro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presente in Friuli Venezia Giulia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  <w:lang w:eastAsia="it-IT"/>
        </w:rPr>
        <w:t>e risalente all’XI secolo</w:t>
      </w:r>
      <w:r w:rsidRPr="00E82164">
        <w:rPr>
          <w:rFonts w:ascii="Footlight MT Light" w:hAnsi="Footlight MT Light"/>
          <w:color w:val="002060"/>
          <w:sz w:val="28"/>
        </w:rPr>
        <w:t>.</w:t>
      </w:r>
    </w:p>
    <w:p w:rsidR="00A23CFF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È una struttura realizzata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per fare memoria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del luogo più venerato dalla cristianità.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Attorno ad essa si rivivevano e celebravano, durante la liturgia pasquale,</w:t>
      </w:r>
    </w:p>
    <w:p w:rsidR="00A23CFF" w:rsidRPr="00E82164" w:rsidRDefault="00A23CFF" w:rsidP="00A23CFF">
      <w:pPr>
        <w:rPr>
          <w:rFonts w:ascii="Footlight MT Light" w:hAnsi="Footlight MT Light"/>
          <w:color w:val="002060"/>
          <w:sz w:val="28"/>
        </w:rPr>
      </w:pPr>
      <w:r w:rsidRPr="00E82164">
        <w:rPr>
          <w:rFonts w:ascii="Footlight MT Light" w:hAnsi="Footlight MT Light"/>
          <w:color w:val="002060"/>
          <w:sz w:val="28"/>
        </w:rPr>
        <w:t>gli eventi della Passione,</w:t>
      </w:r>
    </w:p>
    <w:p w:rsidR="00910655" w:rsidRPr="00A23CFF" w:rsidRDefault="00A23CFF" w:rsidP="00A23CFF">
      <w:pPr>
        <w:rPr>
          <w:rFonts w:ascii="Footlight MT Light" w:hAnsi="Footlight MT Light"/>
          <w:color w:val="002060"/>
          <w:sz w:val="28"/>
          <w:lang w:eastAsia="it-IT"/>
        </w:rPr>
      </w:pPr>
      <w:r w:rsidRPr="00E82164">
        <w:rPr>
          <w:rFonts w:ascii="Footlight MT Light" w:hAnsi="Footlight MT Light"/>
          <w:color w:val="002060"/>
          <w:sz w:val="28"/>
        </w:rPr>
        <w:t>Morte e Resurrezione di Gesù Cristo.</w:t>
      </w:r>
    </w:p>
    <w:sectPr w:rsidR="00910655" w:rsidRPr="00A23CFF" w:rsidSect="00051D80">
      <w:type w:val="continuous"/>
      <w:pgSz w:w="11906" w:h="16838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12"/>
    <w:rsid w:val="00036561"/>
    <w:rsid w:val="00046B8D"/>
    <w:rsid w:val="00051D80"/>
    <w:rsid w:val="000E6DA8"/>
    <w:rsid w:val="00137C38"/>
    <w:rsid w:val="001B6861"/>
    <w:rsid w:val="002067C3"/>
    <w:rsid w:val="002312FB"/>
    <w:rsid w:val="00267042"/>
    <w:rsid w:val="003838C0"/>
    <w:rsid w:val="0044024F"/>
    <w:rsid w:val="004827EE"/>
    <w:rsid w:val="005027A8"/>
    <w:rsid w:val="00506A12"/>
    <w:rsid w:val="00551363"/>
    <w:rsid w:val="00572BF9"/>
    <w:rsid w:val="005B54ED"/>
    <w:rsid w:val="006C2A07"/>
    <w:rsid w:val="00705F25"/>
    <w:rsid w:val="00706BBE"/>
    <w:rsid w:val="0071761A"/>
    <w:rsid w:val="00781213"/>
    <w:rsid w:val="00845167"/>
    <w:rsid w:val="00910655"/>
    <w:rsid w:val="009E07A3"/>
    <w:rsid w:val="00A23CFF"/>
    <w:rsid w:val="00B17558"/>
    <w:rsid w:val="00BE5E17"/>
    <w:rsid w:val="00C16197"/>
    <w:rsid w:val="00C224C4"/>
    <w:rsid w:val="00CC1D6C"/>
    <w:rsid w:val="00D4300B"/>
    <w:rsid w:val="00D92B4F"/>
    <w:rsid w:val="00E62CBA"/>
    <w:rsid w:val="00E768FD"/>
    <w:rsid w:val="00E82164"/>
    <w:rsid w:val="00EA67E3"/>
    <w:rsid w:val="00EA71AC"/>
    <w:rsid w:val="00EE2A10"/>
    <w:rsid w:val="00F05CF0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561A-F43E-415A-9C5C-D54A22A4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86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6A1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3F17-9B7D-4045-956F-526251C2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sq</dc:creator>
  <cp:keywords/>
  <dc:description/>
  <cp:lastModifiedBy>Francesca Curreli</cp:lastModifiedBy>
  <cp:revision>19</cp:revision>
  <cp:lastPrinted>2023-03-12T10:59:00Z</cp:lastPrinted>
  <dcterms:created xsi:type="dcterms:W3CDTF">2021-01-28T08:12:00Z</dcterms:created>
  <dcterms:modified xsi:type="dcterms:W3CDTF">2023-03-13T11:26:00Z</dcterms:modified>
</cp:coreProperties>
</file>